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SOLICITAÇÃO DE MANIFESTAÇÃO DE INTERESSE EM BENS MÓVEIS DISPONIBILIZADOS NO REUSE.GOV</w:t>
      </w:r>
    </w:p>
    <w:p w:rsidR="00000000" w:rsidDel="00000000" w:rsidP="00000000" w:rsidRDefault="00000000" w:rsidRPr="00000000" w14:paraId="00000003">
      <w:pPr>
        <w:spacing w:after="12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6285"/>
        <w:tblGridChange w:id="0">
          <w:tblGrid>
            <w:gridCol w:w="2715"/>
            <w:gridCol w:w="62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hd w:fill="ffffff" w:val="clear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Unidade Requisitante: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Ex.. Pró-Reitoria de Administração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hd w:fill="ffffff" w:val="clear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Descrição do 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Mesa reta em MDP, 1,20 x 0.60, 0,74, Mesa de centro, cadeira fixa.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highlight w:val="white"/>
                <w:rtl w:val="0"/>
              </w:rPr>
              <w:t xml:space="preserve">Nº do Anúncio: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XXXXX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Tipo de 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Material Permanente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Categoria do 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Mobiliário em Geral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Situação do 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Ocioso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Tipo de doação: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SEM ÔNUS E ENCARGOS (    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 ÔNUS (   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 ENCARGOS (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Descrição do ônus/encargo, quando houver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Justificativa para o recebimento de materiais com ônus/encargo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XXXXXXXXXXXXXXXXXXXXXXXXXXXXXXXXXXXXXXXXXXXXXXXXXXXXXXXXXXXXXXXXXXXXXXXXXXXXXXXXX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Justificativa para o recebimento do 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XXXXXXXXXXXXXXXXXXXXXXXXXXXXXXXXXXXXXXX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Unidade para carga patrimonial (incorporação)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 para entrega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Local, data,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Assinatura do Gestor da Unidade.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